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77D97">
      <w:pPr>
        <w:pStyle w:val="7"/>
        <w:keepNext w:val="0"/>
        <w:keepLines w:val="0"/>
        <w:pageBreakBefore w:val="0"/>
        <w:widowControl w:val="0"/>
        <w:kinsoku/>
        <w:wordWrap/>
        <w:overflowPunct/>
        <w:topLinePunct w:val="0"/>
        <w:bidi w:val="0"/>
        <w:snapToGrid/>
        <w:spacing w:line="720" w:lineRule="auto"/>
        <w:ind w:firstLine="510" w:firstLineChars="200"/>
        <w:jc w:val="center"/>
        <w:textAlignment w:val="auto"/>
        <w:rPr>
          <w:rFonts w:hint="eastAsia" w:ascii="黑体" w:hAnsi="黑体" w:eastAsia="黑体" w:cs="黑体"/>
          <w:b/>
          <w:bCs/>
          <w:sz w:val="32"/>
          <w:szCs w:val="32"/>
        </w:rPr>
      </w:pPr>
      <w:r>
        <w:rPr>
          <w:rStyle w:val="5"/>
          <w:rFonts w:hint="eastAsia" w:ascii="Times New Roman" w:hAnsi="Times New Roman" w:eastAsia="方正粗宋简体" w:cs="Times New Roman"/>
          <w:b/>
          <w:bCs/>
          <w:spacing w:val="-23"/>
          <w:sz w:val="30"/>
          <w:szCs w:val="30"/>
        </w:rPr>
        <w:t>新晃县</w:t>
      </w:r>
      <w:r>
        <w:rPr>
          <w:rStyle w:val="5"/>
          <w:rFonts w:hint="eastAsia" w:ascii="Times New Roman" w:hAnsi="Times New Roman" w:eastAsia="方正粗宋简体" w:cs="Times New Roman"/>
          <w:b/>
          <w:bCs/>
          <w:spacing w:val="-23"/>
          <w:sz w:val="30"/>
          <w:szCs w:val="30"/>
          <w:lang w:val="en-US" w:eastAsia="zh-CN"/>
        </w:rPr>
        <w:t>城市管理和综合执法局</w:t>
      </w:r>
      <w:r>
        <w:rPr>
          <w:rFonts w:hint="eastAsia" w:ascii="黑体" w:hAnsi="黑体" w:eastAsia="黑体" w:cs="黑体"/>
          <w:b/>
          <w:bCs/>
          <w:sz w:val="30"/>
          <w:szCs w:val="30"/>
        </w:rPr>
        <w:t>关</w:t>
      </w:r>
      <w:r>
        <w:rPr>
          <w:rFonts w:hint="eastAsia" w:ascii="黑体" w:hAnsi="黑体" w:eastAsia="黑体" w:cs="黑体"/>
          <w:b/>
          <w:bCs/>
          <w:sz w:val="32"/>
          <w:szCs w:val="32"/>
        </w:rPr>
        <w:t>于</w:t>
      </w:r>
      <w:r>
        <w:rPr>
          <w:rFonts w:hint="eastAsia" w:ascii="Times New Roman" w:hAnsi="Times New Roman" w:eastAsia="仿宋_GB2312"/>
          <w:b/>
          <w:bCs/>
          <w:sz w:val="32"/>
          <w:szCs w:val="32"/>
        </w:rPr>
        <w:t>202</w:t>
      </w:r>
      <w:r>
        <w:rPr>
          <w:rFonts w:hint="eastAsia" w:ascii="Times New Roman" w:hAnsi="Times New Roman" w:eastAsia="仿宋_GB2312"/>
          <w:b/>
          <w:bCs/>
          <w:sz w:val="32"/>
          <w:szCs w:val="32"/>
          <w:lang w:val="en-US" w:eastAsia="zh-CN"/>
        </w:rPr>
        <w:t>4</w:t>
      </w:r>
      <w:r>
        <w:rPr>
          <w:rFonts w:hint="eastAsia" w:ascii="黑体" w:hAnsi="黑体" w:eastAsia="黑体" w:cs="黑体"/>
          <w:b/>
          <w:bCs/>
          <w:sz w:val="32"/>
          <w:szCs w:val="32"/>
        </w:rPr>
        <w:t>年度预算绩效情况的</w:t>
      </w:r>
    </w:p>
    <w:p w14:paraId="614C19FA">
      <w:pPr>
        <w:pStyle w:val="7"/>
        <w:keepNext w:val="0"/>
        <w:keepLines w:val="0"/>
        <w:pageBreakBefore w:val="0"/>
        <w:widowControl w:val="0"/>
        <w:kinsoku/>
        <w:wordWrap/>
        <w:overflowPunct/>
        <w:topLinePunct w:val="0"/>
        <w:bidi w:val="0"/>
        <w:snapToGrid/>
        <w:spacing w:line="720" w:lineRule="auto"/>
        <w:ind w:firstLine="643" w:firstLineChars="200"/>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说</w:t>
      </w:r>
      <w:r>
        <w:rPr>
          <w:rFonts w:hint="eastAsia" w:hAnsi="黑体" w:cs="黑体"/>
          <w:b/>
          <w:bCs/>
          <w:sz w:val="32"/>
          <w:szCs w:val="32"/>
          <w:lang w:val="en-US" w:eastAsia="zh-CN"/>
        </w:rPr>
        <w:t xml:space="preserve"> </w:t>
      </w:r>
      <w:r>
        <w:rPr>
          <w:rFonts w:hint="eastAsia" w:ascii="黑体" w:hAnsi="黑体" w:eastAsia="黑体" w:cs="黑体"/>
          <w:b/>
          <w:bCs/>
          <w:sz w:val="32"/>
          <w:szCs w:val="32"/>
        </w:rPr>
        <w:t>明</w:t>
      </w:r>
    </w:p>
    <w:p w14:paraId="257D9EB6"/>
    <w:p w14:paraId="4B9CD697">
      <w:pPr>
        <w:pStyle w:val="7"/>
        <w:keepNext w:val="0"/>
        <w:keepLines w:val="0"/>
        <w:pageBreakBefore w:val="0"/>
        <w:widowControl w:val="0"/>
        <w:numPr>
          <w:ilvl w:val="0"/>
          <w:numId w:val="1"/>
        </w:numPr>
        <w:kinsoku/>
        <w:wordWrap/>
        <w:overflowPunct/>
        <w:topLinePunct w:val="0"/>
        <w:autoSpaceDE w:val="0"/>
        <w:autoSpaceDN w:val="0"/>
        <w:bidi w:val="0"/>
        <w:adjustRightInd w:val="0"/>
        <w:snapToGrid/>
        <w:spacing w:line="580" w:lineRule="exact"/>
        <w:ind w:firstLine="643"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绩效管理工作开展情况</w:t>
      </w:r>
    </w:p>
    <w:p w14:paraId="25BA2F2D">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1、绩效管理工作、对象和范围</w:t>
      </w:r>
    </w:p>
    <w:p w14:paraId="7131717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通过项目支出绩效评价，了解本部门项目资金使用情况、管理情况和项目组织设施及事后的监督情况，分析、检验项目是否达到预期目标，资金使用是否有效，为今后资金项目立项、资金安排提供决策依据。</w:t>
      </w:r>
    </w:p>
    <w:p w14:paraId="1C3E5C4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2、绩效管理工作方式方法</w:t>
      </w:r>
    </w:p>
    <w:p w14:paraId="710DB31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环卫部门项目工作经费绩效评价工作遵循科学、规范、公正公开和绩效相关的工作原则。</w:t>
      </w:r>
    </w:p>
    <w:p w14:paraId="33E2B62D">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3、绩效管理工作过程</w:t>
      </w:r>
    </w:p>
    <w:p w14:paraId="352DE113">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前期准备：成立绩效评价小组，制定绩效评价方案。</w:t>
      </w:r>
    </w:p>
    <w:p w14:paraId="0938D5B5">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组织实施：整理相关资料，细化项目绩效目标，设计绩效评价指标体系，查阅财务会计资料，座谈了解项目实施情况。</w:t>
      </w:r>
    </w:p>
    <w:p w14:paraId="041F17FA">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分析评价：分析项目管理情况和资金效益，根据结果进行综合评价并提出建议。</w:t>
      </w:r>
    </w:p>
    <w:p w14:paraId="0157170E">
      <w:pPr>
        <w:pStyle w:val="7"/>
        <w:keepNext w:val="0"/>
        <w:keepLines w:val="0"/>
        <w:pageBreakBefore w:val="0"/>
        <w:widowControl w:val="0"/>
        <w:kinsoku/>
        <w:wordWrap/>
        <w:overflowPunct/>
        <w:topLinePunct w:val="0"/>
        <w:autoSpaceDE w:val="0"/>
        <w:autoSpaceDN w:val="0"/>
        <w:bidi w:val="0"/>
        <w:adjustRightInd w:val="0"/>
        <w:snapToGrid/>
        <w:spacing w:line="580" w:lineRule="exact"/>
        <w:ind w:firstLine="321" w:firstLineChars="100"/>
        <w:jc w:val="left"/>
        <w:textAlignment w:val="auto"/>
        <w:rPr>
          <w:rFonts w:hint="eastAsia" w:ascii="Times New Roman" w:hAnsi="Times New Roman" w:eastAsia="仿宋_GB2312" w:cs="黑体"/>
          <w:b/>
          <w:bCs/>
          <w:color w:val="000000"/>
          <w:kern w:val="0"/>
          <w:sz w:val="32"/>
          <w:szCs w:val="32"/>
          <w:lang w:val="en-US" w:eastAsia="zh-CN" w:bidi="ar-SA"/>
        </w:rPr>
      </w:pPr>
      <w:r>
        <w:rPr>
          <w:rFonts w:hint="eastAsia" w:ascii="Times New Roman" w:hAnsi="Times New Roman" w:eastAsia="仿宋_GB2312" w:cs="黑体"/>
          <w:b/>
          <w:bCs/>
          <w:color w:val="000000"/>
          <w:kern w:val="0"/>
          <w:sz w:val="32"/>
          <w:szCs w:val="32"/>
          <w:lang w:val="en-US" w:eastAsia="zh-CN" w:bidi="ar-SA"/>
        </w:rPr>
        <w:t>（二）部门（单位）整体支出绩效情况</w:t>
      </w:r>
    </w:p>
    <w:p w14:paraId="68DD1E7F">
      <w:pPr>
        <w:pStyle w:val="7"/>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2024年度财政收支情况总体情况说明：</w:t>
      </w:r>
    </w:p>
    <w:p w14:paraId="2F324865">
      <w:pPr>
        <w:pStyle w:val="7"/>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2024年度收入合计3975.77万元。与2023年2510.97万元相比，增加1464.80万元，增加58.34%，主要是因为2024年城管局项目经费支出增加，所以2024年收入比2023年增加。</w:t>
      </w:r>
    </w:p>
    <w:p w14:paraId="1F9A2375">
      <w:pPr>
        <w:pStyle w:val="7"/>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2024年度支出合计3975.77万元。与2023年2510.97万元相比，增加1464.8万元，增加58.34%，主要是因为本单位项目经费支出增加，以及跨年度支付项目款导致。</w:t>
      </w:r>
    </w:p>
    <w:p w14:paraId="3C1113DE">
      <w:pPr>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国有资产占用情况：截至2023年12月31日，本单位共有车辆0辆，其中，领导干部用车0辆、机要通信用车0辆、应急保障用车0辆、执法执勤用车1辆（城管执法大队使用）、特种专业技术用车0辆、其他用车0辆；单位价值50万元以上通用设备0台（套）；单位价值100万元以上专用设备0台（套）。</w:t>
      </w:r>
    </w:p>
    <w:p w14:paraId="291B23D7">
      <w:pPr>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我单位严格按照《预算法》和相关财经纪律要求，厉行节约，杜绝不合理开支，降低行政成本，努力让财政资金发挥最大效益，较好地完成了全年预算。我单位202</w:t>
      </w:r>
      <w:r>
        <w:rPr>
          <w:rFonts w:hint="eastAsia" w:eastAsia="仿宋_GB2312" w:cs="黑体"/>
          <w:color w:val="000000"/>
          <w:kern w:val="0"/>
          <w:sz w:val="32"/>
          <w:szCs w:val="32"/>
          <w:lang w:val="en-US" w:eastAsia="zh-CN" w:bidi="ar-SA"/>
        </w:rPr>
        <w:t>4</w:t>
      </w:r>
      <w:r>
        <w:rPr>
          <w:rFonts w:hint="eastAsia" w:ascii="Times New Roman" w:hAnsi="Times New Roman" w:eastAsia="仿宋_GB2312" w:cs="黑体"/>
          <w:color w:val="000000"/>
          <w:kern w:val="0"/>
          <w:sz w:val="32"/>
          <w:szCs w:val="32"/>
          <w:lang w:val="en-US" w:eastAsia="zh-CN" w:bidi="ar-SA"/>
        </w:rPr>
        <w:t>年的公务用车运行维护费到12月止支出0万元，</w:t>
      </w:r>
      <w:r>
        <w:rPr>
          <w:rFonts w:hint="eastAsia" w:eastAsia="仿宋_GB2312" w:cs="黑体"/>
          <w:color w:val="000000"/>
          <w:kern w:val="0"/>
          <w:sz w:val="32"/>
          <w:szCs w:val="32"/>
          <w:lang w:val="en-US" w:eastAsia="zh-CN" w:bidi="ar-SA"/>
        </w:rPr>
        <w:t>车辆日常维护由二级机构负责。</w:t>
      </w:r>
      <w:r>
        <w:rPr>
          <w:rFonts w:hint="eastAsia" w:ascii="Times New Roman" w:hAnsi="Times New Roman" w:eastAsia="仿宋_GB2312" w:cs="黑体"/>
          <w:color w:val="000000"/>
          <w:kern w:val="0"/>
          <w:sz w:val="32"/>
          <w:szCs w:val="32"/>
          <w:lang w:val="en-US" w:eastAsia="zh-CN" w:bidi="ar-SA"/>
        </w:rPr>
        <w:t>公务接待费到12月止支出</w:t>
      </w:r>
      <w:r>
        <w:rPr>
          <w:rFonts w:hint="eastAsia" w:eastAsia="仿宋_GB2312" w:cs="黑体"/>
          <w:color w:val="000000"/>
          <w:kern w:val="0"/>
          <w:sz w:val="32"/>
          <w:szCs w:val="32"/>
          <w:lang w:val="en-US" w:eastAsia="zh-CN" w:bidi="ar-SA"/>
        </w:rPr>
        <w:t>0</w:t>
      </w:r>
      <w:r>
        <w:rPr>
          <w:rFonts w:hint="eastAsia" w:ascii="Times New Roman" w:hAnsi="Times New Roman" w:eastAsia="仿宋_GB2312" w:cs="黑体"/>
          <w:color w:val="000000"/>
          <w:kern w:val="0"/>
          <w:sz w:val="32"/>
          <w:szCs w:val="32"/>
          <w:lang w:val="en-US" w:eastAsia="zh-CN" w:bidi="ar-SA"/>
        </w:rPr>
        <w:t>万元。</w:t>
      </w:r>
    </w:p>
    <w:p w14:paraId="057BFB66">
      <w:pPr>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根据《部门整体支出绩效评价指标》评分表，自评得分83分，主要绩效如下：</w:t>
      </w:r>
    </w:p>
    <w:p w14:paraId="2B9D6639">
      <w:pPr>
        <w:pStyle w:val="7"/>
        <w:keepNext w:val="0"/>
        <w:keepLines w:val="0"/>
        <w:pageBreakBefore w:val="0"/>
        <w:widowControl w:val="0"/>
        <w:kinsoku/>
        <w:wordWrap/>
        <w:overflowPunct/>
        <w:topLinePunct w:val="0"/>
        <w:bidi w:val="0"/>
        <w:adjustRightInd/>
        <w:snapToGrid/>
        <w:spacing w:beforeAutospacing="0" w:afterAutospacing="0" w:line="580" w:lineRule="exact"/>
        <w:ind w:firstLine="320" w:firstLineChars="100"/>
        <w:jc w:val="both"/>
        <w:textAlignment w:val="auto"/>
        <w:rPr>
          <w:rFonts w:hint="eastAsia" w:ascii="Times New Roman" w:hAnsi="Times New Roman" w:eastAsia="仿宋_GB2312" w:cs="黑体"/>
          <w:color w:val="000000"/>
          <w:kern w:val="0"/>
          <w:sz w:val="32"/>
          <w:szCs w:val="32"/>
          <w:lang w:val="en-US" w:eastAsia="zh-CN" w:bidi="ar-SA"/>
        </w:rPr>
      </w:pPr>
      <w:r>
        <w:rPr>
          <w:rFonts w:hint="eastAsia" w:cs="Times New Roman" w:asciiTheme="minorEastAsia" w:hAnsiTheme="minorEastAsia" w:eastAsiaTheme="minorEastAsia"/>
          <w:color w:val="auto"/>
          <w:sz w:val="32"/>
          <w:szCs w:val="32"/>
          <w:lang w:val="en-US" w:eastAsia="zh-CN" w:bidi="ar-SA"/>
        </w:rPr>
        <w:t>（</w:t>
      </w:r>
      <w:r>
        <w:rPr>
          <w:rFonts w:hint="eastAsia" w:ascii="Times New Roman" w:hAnsi="Times New Roman" w:eastAsia="仿宋_GB2312" w:cs="黑体"/>
          <w:color w:val="000000"/>
          <w:kern w:val="0"/>
          <w:sz w:val="32"/>
          <w:szCs w:val="32"/>
          <w:lang w:val="en-US" w:eastAsia="zh-CN" w:bidi="ar-SA"/>
        </w:rPr>
        <w:t>一）聚焦党建，持续推进全面从严治党</w:t>
      </w:r>
    </w:p>
    <w:p w14:paraId="2B56278E">
      <w:pPr>
        <w:pStyle w:val="7"/>
        <w:keepNext w:val="0"/>
        <w:keepLines w:val="0"/>
        <w:pageBreakBefore w:val="0"/>
        <w:widowControl w:val="0"/>
        <w:kinsoku/>
        <w:wordWrap/>
        <w:overflowPunct/>
        <w:topLinePunct w:val="0"/>
        <w:bidi w:val="0"/>
        <w:adjustRightInd/>
        <w:snapToGrid/>
        <w:spacing w:beforeAutospacing="0" w:afterAutospacing="0" w:line="580" w:lineRule="exact"/>
        <w:ind w:firstLine="640" w:firstLineChars="200"/>
        <w:jc w:val="both"/>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2024年，局党组充分发挥党建引领作用，执党建之“手”，绣好城市管理之“花”，将党建工作贯穿始终，深入贯彻落实中央、省、市、县工作部署，为城市管理注入“源头活水”。</w:t>
      </w:r>
    </w:p>
    <w:p w14:paraId="2D04810F">
      <w:pPr>
        <w:pStyle w:val="7"/>
        <w:keepNext w:val="0"/>
        <w:keepLines w:val="0"/>
        <w:pageBreakBefore w:val="0"/>
        <w:widowControl w:val="0"/>
        <w:kinsoku/>
        <w:wordWrap/>
        <w:overflowPunct/>
        <w:topLinePunct w:val="0"/>
        <w:bidi w:val="0"/>
        <w:adjustRightInd/>
        <w:snapToGrid/>
        <w:spacing w:beforeAutospacing="0" w:afterAutospacing="0" w:line="580" w:lineRule="exact"/>
        <w:ind w:firstLine="640" w:firstLineChars="200"/>
        <w:jc w:val="both"/>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落实基层党建主体责任和“一岗双责”。以抓好党建是本职、不抓党建是失职、抓不好党建不称职的工作要求，落实抓党建工作责任制，严格落实“一把手”主体责任，定期召开党建工作专题会议，做到年初有研究部署、半年有工作汇报、年终有工作总结。压实班子成员和支部书记“一岗双责”，班子成员要深入分管领域党支部指导支部加强班子建设，把党的政策和上级要求及时传达到位，夯实支部政治基础，支部书记严格履行第一责任人责任，充分发挥党支部战斗堡垒和党员先锋模范作用，打造政治坚定、作风优良、纪律严明、依法履职、群众满意的党支部。</w:t>
      </w:r>
    </w:p>
    <w:p w14:paraId="202BD8BA">
      <w:pPr>
        <w:pStyle w:val="7"/>
        <w:keepNext w:val="0"/>
        <w:keepLines w:val="0"/>
        <w:pageBreakBefore w:val="0"/>
        <w:widowControl w:val="0"/>
        <w:kinsoku/>
        <w:wordWrap/>
        <w:overflowPunct/>
        <w:topLinePunct w:val="0"/>
        <w:bidi w:val="0"/>
        <w:adjustRightInd/>
        <w:snapToGrid/>
        <w:spacing w:beforeAutospacing="0" w:afterAutospacing="0" w:line="580" w:lineRule="exact"/>
        <w:ind w:firstLine="640" w:firstLineChars="200"/>
        <w:jc w:val="both"/>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充分发挥党建引领作用。以“围绕发展抓党建，抓好党建促发展”的工作理念，规范党组中心组理论学习会、“三会一课”、领导干部上党课等制度，始终把党的二十大、二十届三中全会精神、习近平新时代中国特色社会主义思想、习近平总书记系列重要讲话指示批示作为学习首要政治任务，采取党员领导干部率先学，线上线下相结合，用好“学习强国”等载体，把党的政治理论、习近平新时代中国特色社会主义思想转化为坚定理想信念、锤炼党性和指导实践、推动工作的强大力量，进一步统一思路、统一行动，引领发展，捍卫“两个确立”，坚决做到“两个维护”，以实干践行使命，以担当诠释忠诚，确保各项重大决策部署在城管系统落地落实，不断提升依法行政能力和城市精细化管理水平。丰富“主题党日”活动，各党支部结合工作实际，利用重要节日节点，开展“重温红色记忆弘扬建党精神”“激情奋斗创新争先”“二十大精神我先行”“奋进新时代共筑中国梦”系列主题活动，教育引导党员干部主动投身到城市管理建设中。至今，党组中心组集中学习13次、研讨交流6次，上党课8次。</w:t>
      </w:r>
    </w:p>
    <w:p w14:paraId="1EC12660">
      <w:pPr>
        <w:pStyle w:val="7"/>
        <w:keepNext w:val="0"/>
        <w:keepLines w:val="0"/>
        <w:pageBreakBefore w:val="0"/>
        <w:widowControl w:val="0"/>
        <w:kinsoku/>
        <w:wordWrap/>
        <w:overflowPunct/>
        <w:topLinePunct w:val="0"/>
        <w:bidi w:val="0"/>
        <w:adjustRightInd/>
        <w:snapToGrid/>
        <w:spacing w:beforeAutospacing="0" w:afterAutospacing="0" w:line="580" w:lineRule="exact"/>
        <w:ind w:firstLine="640" w:firstLineChars="200"/>
        <w:jc w:val="both"/>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加强意识形态贯彻落实。为贯彻落实党中央和省、市关于意识形态工作的决策部署和指示精神，牢牢把握正确的政治方向和舆论导向，城管执法局结合当前城市管理工作实际，始终把意识形态工作摆在重要位置，坚持把意识形态工作纳入综合目标考评，与中心工作同部署、同落实、同检查、同考核，将意识形态工作纳入党组中心组学习的重要内容，结合学习贯彻习近平新时代中国特色社会主义思想主题教育，对照党中央和上级党委关于意识形态工作的决策部署及指示精神开展学习研讨，在思想上行动上与党中央保持高度一致。</w:t>
      </w:r>
    </w:p>
    <w:p w14:paraId="484F1F21">
      <w:pPr>
        <w:keepNext w:val="0"/>
        <w:keepLines w:val="0"/>
        <w:pageBreakBefore w:val="0"/>
        <w:widowControl w:val="0"/>
        <w:kinsoku/>
        <w:wordWrap/>
        <w:overflowPunct/>
        <w:topLinePunct w:val="0"/>
        <w:autoSpaceDE/>
        <w:autoSpaceDN/>
        <w:bidi w:val="0"/>
        <w:adjustRightInd/>
        <w:snapToGrid/>
        <w:spacing w:line="580" w:lineRule="exact"/>
        <w:ind w:right="0" w:rightChars="0" w:firstLine="640" w:firstLineChars="200"/>
        <w:jc w:val="both"/>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4.坚持党建为引领，全力推进乡村振兴。我局作为中寨镇降溪村、祥冲村、头家村、半江村的后盾单位，共派驻10名工作队员参与乡村振兴工作。自乡村振兴工作开展以来，我局积极组织单位干部职工深入联系村开展乡村振兴工作、人居环境整治、疫情防控、森林防火宣传值守工作；局主要领导多次到联系村开展调研、座谈，与工作队、村支两委领导共同谋划村产业发展。</w:t>
      </w:r>
    </w:p>
    <w:p w14:paraId="0C37C70F">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470" w:firstLineChars="147"/>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（二）推进以人民为中心的执法理念，强化城市管理水平</w:t>
      </w:r>
    </w:p>
    <w:p w14:paraId="02B13B79">
      <w:pPr>
        <w:pStyle w:val="10"/>
        <w:keepNext w:val="0"/>
        <w:keepLines w:val="0"/>
        <w:pageBreakBefore w:val="0"/>
        <w:widowControl/>
        <w:shd w:val="clear" w:color="auto" w:fill="FFFFFF"/>
        <w:kinsoku/>
        <w:wordWrap/>
        <w:overflowPunct/>
        <w:topLinePunct w:val="0"/>
        <w:bidi w:val="0"/>
        <w:adjustRightInd/>
        <w:snapToGrid/>
        <w:spacing w:before="0" w:beforeAutospacing="0" w:after="0" w:afterAutospacing="0" w:line="580" w:lineRule="exact"/>
        <w:ind w:firstLine="640" w:firstLineChars="200"/>
        <w:jc w:val="left"/>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开展城市管理提升年活动，以“强基础、转作风、树形象”为主题，提升城管执法队伍素质、规范城管执法工作、提高城管执法标准化信息化水平为目标，以城管执法“三进”（即进社区、进企业、进乡镇）活动为契机，重点解决城市卫生管理盲区和城乡行政机关所在辖区管理标准不一等问题。通过提升城管执法公信力和城乡管理一体化为宗旨，达到主动发现问题，服务前置，让执法和服务延伸至行政机关所在辖区方方面面，全面提升长效管理和服务水平。聚焦城管执法主责主业和重点任务，突出政治、法治、业务、形象、实操，夯实执法能力基础，提振队伍精气神，努力锻造一支政治坚定、作风优良、纪律严明、廉洁务实、人民满意的新时代城市管理执法队伍，厚植“法治城管”新优势，重塑城管执法新形象，进一步提升城市管理水平，为“康养新晃、自在晃城”营造和谐有序的城市人文生活和工作环境。</w:t>
      </w:r>
    </w:p>
    <w:p w14:paraId="352D83AC">
      <w:pPr>
        <w:pStyle w:val="10"/>
        <w:keepNext w:val="0"/>
        <w:keepLines w:val="0"/>
        <w:pageBreakBefore w:val="0"/>
        <w:widowControl/>
        <w:shd w:val="clear" w:color="auto" w:fill="FFFFFF"/>
        <w:kinsoku/>
        <w:wordWrap/>
        <w:overflowPunct/>
        <w:topLinePunct w:val="0"/>
        <w:bidi w:val="0"/>
        <w:adjustRightInd/>
        <w:snapToGrid/>
        <w:spacing w:before="0" w:beforeAutospacing="0" w:after="0" w:afterAutospacing="0" w:line="580" w:lineRule="exact"/>
        <w:ind w:firstLine="320" w:firstLineChars="10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（三）维护市容秩序，还人民以“净、治、好”</w:t>
      </w:r>
    </w:p>
    <w:p w14:paraId="78067FB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突出一个“净”字，抓好市容环境整治工作。一是规范市容环境秩序，重点整治了占道经营、清理乱堆乱放、流动摊贩、牛皮癣广告、以人行道乱堆放等工作，其中共纠正倚门出摊(超出门窗占道经营)13500余起；清理本辖区电线杆上的广告绳约七十余斤；清理沿街乱晾晒1900余次；清除乱涂写、乱张贴、牛皮癣15700多处；清理乱堆放2600余处；清理破损门头广告招牌、小灯箱、小黑板1000余个；清理流动摊贩16400余次；劝阻噪声污染900余次。对违规摆摊、占用人行道等问题处理约900余起，防区违法破道、私搭乱建等问题制止约60余起，违规养殖家畜家禽劝导处理30余起，制止破坏市政设施等问题30余起。对城区100余家夜市大拍档进行规范管理，对问题突出的经营户下令停业整改。二是整治车辆乱停乱放，</w:t>
      </w:r>
      <w:r>
        <w:rPr>
          <w:rFonts w:hint="eastAsia" w:ascii="Times New Roman" w:hAnsi="Times New Roman" w:eastAsia="仿宋_GB2312" w:cs="黑体"/>
          <w:color w:val="000000"/>
          <w:kern w:val="0"/>
          <w:sz w:val="32"/>
          <w:szCs w:val="32"/>
          <w:lang w:val="zh-CN" w:eastAsia="zh-CN" w:bidi="ar-SA"/>
        </w:rPr>
        <w:t>针对机动车乱停乱放和占用人行道行为进行全面治理，农贸市场及周边、夜郎广场，城北鼓楼广场等地段得到有效规范。对机动车乱停乱放实施</w:t>
      </w:r>
      <w:r>
        <w:rPr>
          <w:rFonts w:hint="eastAsia" w:ascii="Times New Roman" w:hAnsi="Times New Roman" w:eastAsia="仿宋_GB2312" w:cs="黑体"/>
          <w:color w:val="000000"/>
          <w:kern w:val="0"/>
          <w:sz w:val="32"/>
          <w:szCs w:val="32"/>
          <w:lang w:val="en-US" w:eastAsia="zh-CN" w:bidi="ar-SA"/>
        </w:rPr>
        <w:t>贴条3943</w:t>
      </w:r>
      <w:r>
        <w:rPr>
          <w:rFonts w:hint="eastAsia" w:ascii="Times New Roman" w:hAnsi="Times New Roman" w:eastAsia="仿宋_GB2312" w:cs="黑体"/>
          <w:color w:val="000000"/>
          <w:kern w:val="0"/>
          <w:sz w:val="32"/>
          <w:szCs w:val="32"/>
          <w:lang w:val="zh-CN" w:eastAsia="zh-CN" w:bidi="ar-SA"/>
        </w:rPr>
        <w:t>台次，</w:t>
      </w:r>
      <w:r>
        <w:rPr>
          <w:rFonts w:hint="eastAsia" w:ascii="Times New Roman" w:hAnsi="Times New Roman" w:eastAsia="仿宋_GB2312" w:cs="黑体"/>
          <w:color w:val="000000"/>
          <w:kern w:val="0"/>
          <w:sz w:val="32"/>
          <w:szCs w:val="32"/>
          <w:lang w:val="en-US" w:eastAsia="zh-CN" w:bidi="ar-SA"/>
        </w:rPr>
        <w:t>对摩托车</w:t>
      </w:r>
      <w:r>
        <w:rPr>
          <w:rFonts w:hint="eastAsia" w:ascii="Times New Roman" w:hAnsi="Times New Roman" w:eastAsia="仿宋_GB2312" w:cs="黑体"/>
          <w:color w:val="000000"/>
          <w:kern w:val="0"/>
          <w:sz w:val="32"/>
          <w:szCs w:val="32"/>
          <w:lang w:val="zh-CN" w:eastAsia="zh-CN" w:bidi="ar-SA"/>
        </w:rPr>
        <w:t>乱停乱放实施</w:t>
      </w:r>
      <w:r>
        <w:rPr>
          <w:rFonts w:hint="eastAsia" w:ascii="Times New Roman" w:hAnsi="Times New Roman" w:eastAsia="仿宋_GB2312" w:cs="黑体"/>
          <w:color w:val="000000"/>
          <w:kern w:val="0"/>
          <w:sz w:val="32"/>
          <w:szCs w:val="32"/>
          <w:lang w:val="en-US" w:eastAsia="zh-CN" w:bidi="ar-SA"/>
        </w:rPr>
        <w:t>现场拖离182台次。加大思源学校、汽车站、夜郎寨等地段乱停乱放车辆的执法力度。三是依法打击违建，确保人民群众生命财产权安全。坚持每天巡查，做好巡查工作记录。年初至今截止，下达《责令停止建设通知书》14份，向违建户耐心细致地做好解释及宣讲法律政策工作，有效地遏制违建蔓延势头。接待群众来信来访7次，对他们提出的疑点、难点问题，及时的进行处理和答复，做到件件有落实，事事有回音的处理。拆除违法建筑2处，强制拆除1处，拆除面积约为307㎡；立案查处一般行政程序的12起，结案8起（5起行政处罚，3起不予行政处罚），正在办理案件4起，处罚金额28375.1元。</w:t>
      </w:r>
    </w:p>
    <w:p w14:paraId="2FEEBC0C">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right="0" w:rightChars="0" w:firstLine="646"/>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把好行政审批关，服务于民。2024年，我局始终把优化营商环境作为推进高质量发展的“头号工程”、经济生态的“第一大事”，扎实开展营商环境优化提升行动，各部门用心用情用力解决企业的急难愁盼问题，持续营造市场化、法治化营商环境，多举措激发市场活力和社会创造力，推进县域经济高质量发展。</w:t>
      </w:r>
    </w:p>
    <w:p w14:paraId="643385C1">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right="0" w:rightChars="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以公开的工作方式，深化行政审批制度改革的市场化、社会化、法治化、标准化、精准化、便民化。截止11月底，共受理各类审批业务127件，办结件127件，办结率均为100%。其中，城市建筑垃圾57项；城市道路挖掘10项；城市道路占用25项；绿地建设报建29项；户外广告3项；挖掘城市绿地2项；占用城市绿地1项。将所有政务服务事项全部进入“互联网＋政务服务”平台，在行政服务大厅办理，实现“一窗办、并联办、一起办、一次办”，真正让企业和群众办事更方便、更快捷、更贴心。</w:t>
      </w:r>
    </w:p>
    <w:p w14:paraId="7CF409F9">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right="0" w:rightChars="0" w:firstLine="640" w:firstLineChars="20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落实信访督办工作，维护社会安全稳定。一是建立领导定期接访制度。我局将每月星期三下午定为信访接待日。截至目前，共接待群众来访40余人次。二是依法依规办理各类信访案件。着重对群众举报件、县长热线、部门转办等各类信访件进行督办。经办人员认真开展调查取证工作，限期办理、限期反馈，做到快办快结。受理12345县长热线、网络舆情147件，群众来电来访71次，办结率、满意率均为100%。三是持续完善城市管理矛盾纠纷调处机制。针对城市管理出现的邻里纠纷问题，通过邀请相关部门、街道、人大代表、政协委员、社区、双方当事人等予以调解，既达到执法效果，又妥善解决双方之间的纠纷。</w:t>
      </w:r>
    </w:p>
    <w:p w14:paraId="19345A13">
      <w:pPr>
        <w:keepNext w:val="0"/>
        <w:keepLines w:val="0"/>
        <w:pageBreakBefore w:val="0"/>
        <w:kinsoku/>
        <w:wordWrap/>
        <w:overflowPunct/>
        <w:topLinePunct w:val="0"/>
        <w:bidi w:val="0"/>
        <w:adjustRightInd/>
        <w:snapToGrid/>
        <w:spacing w:line="580" w:lineRule="exact"/>
        <w:ind w:firstLine="640" w:firstLineChars="20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4.认真办理人大、政协提案议案。经办人员以高度的责任感和使命感，深入调查，分析问题，做好建议、提案的办理工作。今年办理人大议案11件（B类建议1件）、政协提案18件。目前已全部办理完毕，实现见面率、回复率、满意率三个100%。微建议79件，已办结77件，2件正在办理中。</w:t>
      </w:r>
    </w:p>
    <w:p w14:paraId="76A5D8FA">
      <w:pPr>
        <w:pStyle w:val="7"/>
        <w:keepNext w:val="0"/>
        <w:keepLines w:val="0"/>
        <w:pageBreakBefore w:val="0"/>
        <w:widowControl w:val="0"/>
        <w:kinsoku/>
        <w:wordWrap/>
        <w:overflowPunct/>
        <w:topLinePunct w:val="0"/>
        <w:bidi w:val="0"/>
        <w:adjustRightInd/>
        <w:snapToGrid/>
        <w:spacing w:beforeAutospacing="0" w:afterAutospacing="0" w:line="580" w:lineRule="exact"/>
        <w:ind w:firstLine="320" w:firstLineChars="100"/>
        <w:jc w:val="both"/>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（四）敢担当有作为，推进城市品质持续提升</w:t>
      </w:r>
    </w:p>
    <w:p w14:paraId="77DC6721">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right="0" w:rightChars="0" w:firstLine="640" w:firstLineChars="20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1.完善基础设施建设 提升服务能力水平。完成主城区晃山路、人民路2.1公里雨污分流管网建设，新增城区320国道、晃山路、通达路和火车站路口雨水篦子18座，疏通人民路和梅林路下水道堵塞疏通370余米；对城区人行道混凝土彩砖破损、松动零星维修325m²；下水道疏通、清淤1km；城区沥青混凝土路面基坑冷补零星修复735㎡；市政下水道井盖更换35座；高铁站门楼大理石零星维修21㎡；竹王大道休闲椅维修6根；城区雨水篦子清淤475座；城区易积水地段新增雨水井21座；教师新城后山坡及老屋场至戴家巷子道路地面硬化465m2;对夜郎广场、鼓楼广场、商业步行街麻石板破损零星维修415m2；城区公厕零星维修及下水道疏通35次；鼓楼广场沟盖板破损板更换维修55m；维修城区4座垃圾中转站。更换老晃城栈道景观灯6盏，姚家院子路灯线路进行改造300米，更换晃州镇后面巷子路灯灯头5盏，线路改造150米；改造320国道线路1.6公里；更换秦占坡路灯灯头14盏；对城区路灯车辆撞毁、倾斜拆除，消除安全隐患6处，对城区路灯维修75次；对一河两岸景观亮化灯进行日常维修及巡查，处理安全隐患6次。</w:t>
      </w:r>
    </w:p>
    <w:p w14:paraId="469EE9CF">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textAlignment w:val="auto"/>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2.聚焦精细化管养 促进城市绿化品质提升。一是加大园林绿化监察管理力度。2024年，通过持续巡查和全面整改，共发现并处理各类园林绿化问题20余起，补植行道树40株、球灌木480株、撒播草种500平方米、补种花箱吉祥草35个。同时，还对园林设施设备进行了全面检查，及时发现并排出存在安全隐患15起。二是启动城区行道树树型修剪三年实施方案。受年初冰雪灾害影响，我县城区园林树木受损严重，调动铲雪车、运输车等车辆65台，清理各类残枝110余车，灾后在城区开展主干道行道树安全修剪工作，集中整治受损树木，消除道路安全隐患，美化城市环境。集中开展修剪工作，对人民路、太阳坪路、中山路等主干道区域树木进行初步修剪整形，预计修剪树木近2000棵。三是全力开展洪灾后绿化修复重建。6月下旬受50年难遇的洪水影响，我县沿河两边绿化带损毁严重，自洪水退后起，先后共组织人员300余人，清理舞水风光带绿化垃圾40余吨，倒伏乔灌木4000余株。</w:t>
      </w:r>
    </w:p>
    <w:p w14:paraId="1F09B8C5">
      <w:pPr>
        <w:keepNext w:val="0"/>
        <w:keepLines w:val="0"/>
        <w:pageBreakBefore w:val="0"/>
        <w:widowControl w:val="0"/>
        <w:numPr>
          <w:ilvl w:val="0"/>
          <w:numId w:val="0"/>
        </w:numPr>
        <w:kinsoku/>
        <w:wordWrap/>
        <w:overflowPunct/>
        <w:topLinePunct w:val="0"/>
        <w:autoSpaceDE/>
        <w:autoSpaceDN/>
        <w:bidi w:val="0"/>
        <w:adjustRightInd/>
        <w:snapToGrid/>
        <w:spacing w:line="586" w:lineRule="exact"/>
        <w:ind w:left="0" w:leftChars="0" w:firstLine="720" w:firstLineChars="225"/>
        <w:textAlignment w:val="auto"/>
        <w:rPr>
          <w:rFonts w:hint="default"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3.全力做好防汛抗旱防范，保障人民生命财产安全。“6.29”抗洪救灾工作中，城管执法局能根据县委、县政府的安排，主动担当、尽职尽责。紧抓黄金72小时和紧扣“汛前、汛中、讯后”三个关键环节，连续作战4天5晚，全力动态巡查疏导疏散，着力清障清淤等，恢复城区正常生产生活秩序，帮助遇困群众，全力守护城市运行安全和人民群众生命财产安全。</w:t>
      </w:r>
    </w:p>
    <w:p w14:paraId="0ECF2833">
      <w:pPr>
        <w:pStyle w:val="7"/>
        <w:keepNext w:val="0"/>
        <w:keepLines w:val="0"/>
        <w:pageBreakBefore w:val="0"/>
        <w:widowControl w:val="0"/>
        <w:kinsoku/>
        <w:wordWrap/>
        <w:overflowPunct/>
        <w:topLinePunct w:val="0"/>
        <w:autoSpaceDE w:val="0"/>
        <w:autoSpaceDN w:val="0"/>
        <w:bidi w:val="0"/>
        <w:adjustRightInd w:val="0"/>
        <w:snapToGrid/>
        <w:spacing w:line="580" w:lineRule="exact"/>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4D85D419">
      <w:pPr>
        <w:pStyle w:val="7"/>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一、根据</w:t>
      </w:r>
      <w:r>
        <w:rPr>
          <w:rFonts w:hint="eastAsia" w:ascii="Times New Roman" w:hAnsi="Times New Roman" w:eastAsia="仿宋_GB2312"/>
          <w:sz w:val="32"/>
          <w:szCs w:val="32"/>
        </w:rPr>
        <w:t>预算和预算绩效管理，部门履职效能，资金分配、使用和管理，资产和财务管理、政府采购</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反映各种预算支出执行偏离绩效目标的情况等方面归纳存在的问题；</w:t>
      </w:r>
    </w:p>
    <w:p w14:paraId="5BDE11C8">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1、对于预算绩效管理工作的认识不够深入，把项目支出绩效简单等同于工作目标、工作考核和业务管理，绩效目标和指标往往根据项目实际完成情况制定，对项目执行过程有效约束不够，存在一定的偏差。</w:t>
      </w:r>
    </w:p>
    <w:p w14:paraId="793F19E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left"/>
        <w:textAlignment w:val="auto"/>
        <w:rPr>
          <w:rFonts w:hint="eastAsia" w:ascii="仿宋" w:hAnsi="仿宋" w:eastAsia="仿宋" w:cs="仿宋"/>
          <w:sz w:val="32"/>
          <w:szCs w:val="32"/>
          <w:lang w:val="en-US" w:eastAsia="zh-CN"/>
        </w:rPr>
      </w:pPr>
    </w:p>
    <w:p w14:paraId="49036D02">
      <w:pPr>
        <w:pStyle w:val="6"/>
        <w:numPr>
          <w:ilvl w:val="0"/>
          <w:numId w:val="2"/>
        </w:numPr>
        <w:ind w:firstLine="640" w:firstLineChars="200"/>
        <w:rPr>
          <w:rFonts w:hint="default" w:eastAsia="仿宋_GB2312"/>
          <w:sz w:val="32"/>
          <w:szCs w:val="32"/>
          <w:lang w:val="en-US" w:eastAsia="zh-CN"/>
        </w:rPr>
      </w:pPr>
      <w:r>
        <w:rPr>
          <w:rFonts w:hint="default" w:eastAsia="仿宋_GB2312"/>
          <w:sz w:val="32"/>
          <w:szCs w:val="32"/>
          <w:lang w:val="en-US" w:eastAsia="zh-CN"/>
        </w:rPr>
        <w:t>单位存在预算未全部按照经济科</w:t>
      </w:r>
      <w:r>
        <w:rPr>
          <w:rFonts w:hint="eastAsia" w:eastAsia="仿宋_GB2312"/>
          <w:sz w:val="32"/>
          <w:szCs w:val="32"/>
          <w:lang w:val="en-US" w:eastAsia="zh-CN"/>
        </w:rPr>
        <w:t>目</w:t>
      </w:r>
      <w:r>
        <w:rPr>
          <w:rFonts w:hint="default" w:eastAsia="仿宋_GB2312"/>
          <w:sz w:val="32"/>
          <w:szCs w:val="32"/>
          <w:lang w:val="en-US" w:eastAsia="zh-CN"/>
        </w:rPr>
        <w:t>细化进行预算的问题。</w:t>
      </w:r>
    </w:p>
    <w:p w14:paraId="3182C2AE">
      <w:pPr>
        <w:pStyle w:val="6"/>
        <w:numPr>
          <w:ilvl w:val="0"/>
          <w:numId w:val="2"/>
        </w:numPr>
        <w:ind w:firstLine="640" w:firstLineChars="200"/>
        <w:rPr>
          <w:rFonts w:hint="default" w:eastAsia="仿宋_GB2312"/>
          <w:sz w:val="32"/>
          <w:szCs w:val="32"/>
          <w:lang w:val="en-US" w:eastAsia="zh-CN"/>
        </w:rPr>
      </w:pPr>
      <w:r>
        <w:rPr>
          <w:rFonts w:hint="eastAsia" w:eastAsia="仿宋_GB2312"/>
          <w:sz w:val="32"/>
          <w:szCs w:val="32"/>
          <w:lang w:val="en-US" w:eastAsia="zh-CN"/>
        </w:rPr>
        <w:t>预算调整率、公用经费调整率、三公经费控制率等指标偏离绩效目标，主要原因城区清扫保洁服务、垃圾转运服务等项目导致与年初预算有偏离。</w:t>
      </w:r>
      <w:bookmarkStart w:id="0" w:name="_GoBack"/>
      <w:bookmarkEnd w:id="0"/>
    </w:p>
    <w:p w14:paraId="1C49D1BB">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w:t>
      </w:r>
    </w:p>
    <w:p w14:paraId="4907F12A">
      <w:pPr>
        <w:spacing w:line="560" w:lineRule="exact"/>
        <w:ind w:firstLine="640" w:firstLineChars="200"/>
        <w:jc w:val="left"/>
        <w:rPr>
          <w:rFonts w:hint="default" w:eastAsia="仿宋_GB2312"/>
          <w:sz w:val="32"/>
          <w:szCs w:val="32"/>
          <w:lang w:val="en-US" w:eastAsia="zh-CN"/>
        </w:rPr>
      </w:pPr>
    </w:p>
    <w:p w14:paraId="5B9AAB34">
      <w:pPr>
        <w:spacing w:line="560"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 xml:space="preserve">                  </w:t>
      </w:r>
    </w:p>
    <w:p w14:paraId="5FAD739F">
      <w:pPr>
        <w:spacing w:before="240" w:line="560" w:lineRule="exact"/>
        <w:ind w:firstLine="640" w:firstLineChars="200"/>
        <w:jc w:val="left"/>
        <w:rPr>
          <w:rFonts w:hint="eastAsia" w:eastAsia="仿宋_GB2312"/>
          <w:sz w:val="32"/>
          <w:szCs w:val="32"/>
          <w:lang w:val="en-US" w:eastAsia="zh-CN"/>
        </w:rPr>
      </w:pPr>
    </w:p>
    <w:p w14:paraId="0BB664B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宋简体">
    <w:altName w:val="宋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4B4A3"/>
    <w:multiLevelType w:val="singleLevel"/>
    <w:tmpl w:val="9454B4A3"/>
    <w:lvl w:ilvl="0" w:tentative="0">
      <w:start w:val="2"/>
      <w:numFmt w:val="decimal"/>
      <w:suff w:val="nothing"/>
      <w:lvlText w:val="%1、"/>
      <w:lvlJc w:val="left"/>
    </w:lvl>
  </w:abstractNum>
  <w:abstractNum w:abstractNumId="1">
    <w:nsid w:val="706A1A20"/>
    <w:multiLevelType w:val="singleLevel"/>
    <w:tmpl w:val="706A1A2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00000000"/>
    <w:rsid w:val="094F6D67"/>
    <w:rsid w:val="25793C88"/>
    <w:rsid w:val="289B5C2D"/>
    <w:rsid w:val="2AE85AC3"/>
    <w:rsid w:val="2C701096"/>
    <w:rsid w:val="321C7033"/>
    <w:rsid w:val="39B52DFD"/>
    <w:rsid w:val="3AA24F77"/>
    <w:rsid w:val="489A18C8"/>
    <w:rsid w:val="5F6F0822"/>
    <w:rsid w:val="6C6B7580"/>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 w:type="paragraph" w:customStyle="1" w:styleId="6">
    <w:name w:val="BodyText1I"/>
    <w:basedOn w:val="1"/>
    <w:qFormat/>
    <w:uiPriority w:val="99"/>
    <w:pPr>
      <w:snapToGrid w:val="0"/>
      <w:spacing w:line="360" w:lineRule="auto"/>
      <w:ind w:firstLine="420" w:firstLineChars="100"/>
    </w:pPr>
    <w:rPr>
      <w:sz w:val="28"/>
      <w:szCs w:val="20"/>
    </w:rPr>
  </w:style>
  <w:style w:type="paragraph" w:customStyle="1" w:styleId="7">
    <w:name w:val="Default"/>
    <w:next w:val="1"/>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8">
    <w:name w:val="正文首行缩进 21"/>
    <w:basedOn w:val="9"/>
    <w:autoRedefine/>
    <w:qFormat/>
    <w:uiPriority w:val="0"/>
    <w:pPr>
      <w:ind w:firstLine="420" w:firstLineChars="200"/>
    </w:pPr>
  </w:style>
  <w:style w:type="paragraph" w:customStyle="1" w:styleId="9">
    <w:name w:val="正文文本缩进1"/>
    <w:basedOn w:val="1"/>
    <w:autoRedefine/>
    <w:qFormat/>
    <w:uiPriority w:val="0"/>
    <w:pPr>
      <w:ind w:firstLine="540"/>
    </w:pPr>
    <w:rPr>
      <w:sz w:val="30"/>
    </w:rPr>
  </w:style>
  <w:style w:type="paragraph" w:customStyle="1" w:styleId="10">
    <w:name w:val="普通(网站)1"/>
    <w:basedOn w:val="1"/>
    <w:autoRedefine/>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5029</Words>
  <Characters>5280</Characters>
  <Lines>0</Lines>
  <Paragraphs>0</Paragraphs>
  <TotalTime>1</TotalTime>
  <ScaleCrop>false</ScaleCrop>
  <LinksUpToDate>false</LinksUpToDate>
  <CharactersWithSpaces>5302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冰冻西瓜</cp:lastModifiedBy>
  <dcterms:modified xsi:type="dcterms:W3CDTF">2025-11-03T03:24:39Z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A8057305B3D746E3B75475CCDC7100C5_13</vt:lpwstr>
  </property>
  <property fmtid="{D5CDD505-2E9C-101B-9397-08002B2CF9AE}" pid="4" name="KSOTemplateDocerSaveRecord">
    <vt:lpwstr>eyJoZGlkIjoiZTc2MDdmMDQ0OWUwOWQ0ZDk2NTkwMWQxOGZjZmZhNGEiLCJ1c2VySWQiOiI1Njc1MDg3MTcifQ==</vt:lpwstr>
  </property>
</Properties>
</file>